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61" w:rsidRDefault="00B36A6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6A61" w:rsidRDefault="00B36A61">
      <w:pPr>
        <w:pStyle w:val="ConsPlusNormal"/>
        <w:ind w:firstLine="540"/>
        <w:jc w:val="both"/>
        <w:outlineLvl w:val="0"/>
      </w:pPr>
    </w:p>
    <w:p w:rsidR="00B36A61" w:rsidRDefault="00B36A61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B36A61" w:rsidRDefault="00B36A61">
      <w:pPr>
        <w:pStyle w:val="ConsPlusTitle"/>
        <w:jc w:val="center"/>
      </w:pPr>
    </w:p>
    <w:p w:rsidR="00B36A61" w:rsidRDefault="00B36A61">
      <w:pPr>
        <w:pStyle w:val="ConsPlusTitle"/>
        <w:jc w:val="center"/>
      </w:pPr>
      <w:r>
        <w:t>ПРИКАЗ</w:t>
      </w:r>
    </w:p>
    <w:p w:rsidR="00B36A61" w:rsidRDefault="00B36A61">
      <w:pPr>
        <w:pStyle w:val="ConsPlusTitle"/>
        <w:jc w:val="center"/>
      </w:pPr>
      <w:r>
        <w:t>от 2 декабря 2015 г. N 1399</w:t>
      </w:r>
    </w:p>
    <w:p w:rsidR="00B36A61" w:rsidRDefault="00B36A61">
      <w:pPr>
        <w:pStyle w:val="ConsPlusTitle"/>
        <w:jc w:val="center"/>
      </w:pPr>
    </w:p>
    <w:p w:rsidR="00B36A61" w:rsidRDefault="00B36A61">
      <w:pPr>
        <w:pStyle w:val="ConsPlusTitle"/>
        <w:jc w:val="center"/>
      </w:pPr>
      <w:r>
        <w:t>ОБ УТВЕРЖДЕНИИ ПЛАНА МЕРОПРИЯТИЙ ("ДОРОЖНОЙ КАРТЫ")</w:t>
      </w:r>
    </w:p>
    <w:p w:rsidR="00B36A61" w:rsidRDefault="00B36A61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B36A61" w:rsidRDefault="00B36A61">
      <w:pPr>
        <w:pStyle w:val="ConsPlusTitle"/>
        <w:jc w:val="center"/>
      </w:pPr>
      <w:r>
        <w:t>ПО ПОВЫШЕНИЮ ЗНАЧЕНИЙ ПОКАЗАТЕЛЕЙ ДОСТУПНОСТИ ДЛЯ ИНВАЛИДОВ</w:t>
      </w:r>
    </w:p>
    <w:p w:rsidR="00B36A61" w:rsidRDefault="00B36A61">
      <w:pPr>
        <w:pStyle w:val="ConsPlusTitle"/>
        <w:jc w:val="center"/>
      </w:pPr>
      <w:r>
        <w:t>ОБЪЕКТОВ И ПРЕДОСТАВЛЯЕМЫХ НА НИХ УСЛУГ В СФЕРЕ ОБРАЗОВАНИЯ</w:t>
      </w:r>
    </w:p>
    <w:p w:rsidR="00B36A61" w:rsidRDefault="00B36A61">
      <w:pPr>
        <w:pStyle w:val="ConsPlusNormal"/>
        <w:jc w:val="center"/>
      </w:pPr>
    </w:p>
    <w:p w:rsidR="00B36A61" w:rsidRDefault="00B36A6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26</w:t>
        </w:r>
      </w:hyperlink>
      <w: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приказываю: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План</w:t>
        </w:r>
      </w:hyperlink>
      <w:r>
        <w:t xml:space="preserve"> мероприятий ("дорожную карту")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(далее - "дорожная карта").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 xml:space="preserve">2. Департаменту государственной политики в сфере защиты прав детей (Сильянову Е.А.), Департаменту государственной политики в сфере высшего образования (Соболеву А.Б.), Департаменту государственной политики в сфере подготовки рабочих кадров и ДПО (Золотаревой Н.М.), Департаменту государственной политики в сфере воспитания детей и молодежи (Страдзе А.Э.), Департаменту государственной политики в сфере общего образования (Зыряновой А.В.), Департаменту государственной службы, кадров и управления делами (Голубовскому В.Ю.), Департаменту управления сетью подведомственных организаций (Харченко А.И.), Департаменту информационной политики (Усачевой А.А) обеспечить выполнение мероприятий </w:t>
      </w:r>
      <w:hyperlink w:anchor="P36" w:history="1">
        <w:r>
          <w:rPr>
            <w:color w:val="0000FF"/>
          </w:rPr>
          <w:t>"дорожной карты"</w:t>
        </w:r>
      </w:hyperlink>
      <w:r>
        <w:t>.</w:t>
      </w:r>
    </w:p>
    <w:p w:rsidR="00B36A61" w:rsidRDefault="00B36A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A61" w:rsidRDefault="00B36A61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B36A61" w:rsidRDefault="00B36A61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B36A61" w:rsidRDefault="00B36A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A61" w:rsidRDefault="00B36A61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Каганова В.Ш.</w:t>
      </w:r>
    </w:p>
    <w:p w:rsidR="00B36A61" w:rsidRDefault="00B36A61">
      <w:pPr>
        <w:pStyle w:val="ConsPlusNormal"/>
        <w:ind w:firstLine="540"/>
        <w:jc w:val="both"/>
      </w:pPr>
    </w:p>
    <w:p w:rsidR="00B36A61" w:rsidRDefault="00B36A61">
      <w:pPr>
        <w:pStyle w:val="ConsPlusNormal"/>
        <w:jc w:val="right"/>
      </w:pPr>
      <w:r>
        <w:t>Министр</w:t>
      </w:r>
    </w:p>
    <w:p w:rsidR="00B36A61" w:rsidRDefault="00B36A61">
      <w:pPr>
        <w:pStyle w:val="ConsPlusNormal"/>
        <w:jc w:val="right"/>
      </w:pPr>
      <w:r>
        <w:t>Д.В.ЛИВАНОВ</w:t>
      </w:r>
    </w:p>
    <w:p w:rsidR="00B36A61" w:rsidRDefault="00B36A61">
      <w:pPr>
        <w:pStyle w:val="ConsPlusNormal"/>
        <w:jc w:val="right"/>
      </w:pPr>
    </w:p>
    <w:p w:rsidR="00B36A61" w:rsidRDefault="00B36A61">
      <w:pPr>
        <w:pStyle w:val="ConsPlusNormal"/>
        <w:jc w:val="right"/>
      </w:pPr>
    </w:p>
    <w:p w:rsidR="00B36A61" w:rsidRDefault="00B36A61">
      <w:pPr>
        <w:pStyle w:val="ConsPlusNormal"/>
        <w:jc w:val="right"/>
      </w:pPr>
    </w:p>
    <w:p w:rsidR="00B36A61" w:rsidRDefault="00B36A61">
      <w:pPr>
        <w:pStyle w:val="ConsPlusNormal"/>
        <w:jc w:val="right"/>
      </w:pPr>
    </w:p>
    <w:p w:rsidR="00B36A61" w:rsidRDefault="00B36A61">
      <w:pPr>
        <w:pStyle w:val="ConsPlusNormal"/>
        <w:jc w:val="right"/>
      </w:pPr>
    </w:p>
    <w:p w:rsidR="00B36A61" w:rsidRDefault="00B36A61">
      <w:pPr>
        <w:pStyle w:val="ConsPlusNormal"/>
        <w:jc w:val="right"/>
        <w:outlineLvl w:val="0"/>
      </w:pPr>
      <w:r>
        <w:t>Приложение</w:t>
      </w:r>
    </w:p>
    <w:p w:rsidR="00B36A61" w:rsidRDefault="00B36A61">
      <w:pPr>
        <w:pStyle w:val="ConsPlusNormal"/>
        <w:jc w:val="right"/>
      </w:pPr>
    </w:p>
    <w:p w:rsidR="00B36A61" w:rsidRDefault="00B36A61">
      <w:pPr>
        <w:pStyle w:val="ConsPlusNormal"/>
        <w:jc w:val="right"/>
      </w:pPr>
      <w:r>
        <w:t>Утвержден</w:t>
      </w:r>
    </w:p>
    <w:p w:rsidR="00B36A61" w:rsidRDefault="00B36A61">
      <w:pPr>
        <w:pStyle w:val="ConsPlusNormal"/>
        <w:jc w:val="right"/>
      </w:pPr>
      <w:r>
        <w:lastRenderedPageBreak/>
        <w:t>приказом Министерства</w:t>
      </w:r>
    </w:p>
    <w:p w:rsidR="00B36A61" w:rsidRDefault="00B36A61">
      <w:pPr>
        <w:pStyle w:val="ConsPlusNormal"/>
        <w:jc w:val="right"/>
      </w:pPr>
      <w:r>
        <w:t>образования и науки</w:t>
      </w:r>
    </w:p>
    <w:p w:rsidR="00B36A61" w:rsidRDefault="00B36A61">
      <w:pPr>
        <w:pStyle w:val="ConsPlusNormal"/>
        <w:jc w:val="right"/>
      </w:pPr>
      <w:r>
        <w:t>Российской Федерации</w:t>
      </w:r>
    </w:p>
    <w:p w:rsidR="00B36A61" w:rsidRDefault="00B36A61">
      <w:pPr>
        <w:pStyle w:val="ConsPlusNormal"/>
        <w:jc w:val="right"/>
      </w:pPr>
      <w:r>
        <w:t>от 2 декабря 2015 г. N 1399</w:t>
      </w:r>
    </w:p>
    <w:p w:rsidR="00B36A61" w:rsidRDefault="00B36A61">
      <w:pPr>
        <w:pStyle w:val="ConsPlusNormal"/>
        <w:jc w:val="center"/>
      </w:pPr>
    </w:p>
    <w:p w:rsidR="00B36A61" w:rsidRDefault="00B36A61">
      <w:pPr>
        <w:pStyle w:val="ConsPlusNormal"/>
        <w:jc w:val="center"/>
      </w:pPr>
      <w:bookmarkStart w:id="0" w:name="P36"/>
      <w:bookmarkEnd w:id="0"/>
      <w:r>
        <w:t>ПЛАН</w:t>
      </w:r>
    </w:p>
    <w:p w:rsidR="00B36A61" w:rsidRDefault="00B36A61">
      <w:pPr>
        <w:pStyle w:val="ConsPlusNormal"/>
        <w:jc w:val="center"/>
      </w:pPr>
      <w:r>
        <w:t>МЕРОПРИЯТИЙ ("ДОРОЖНАЯ КАРТА") МИНИСТЕРСТВА</w:t>
      </w:r>
    </w:p>
    <w:p w:rsidR="00B36A61" w:rsidRDefault="00B36A61">
      <w:pPr>
        <w:pStyle w:val="ConsPlusNormal"/>
        <w:jc w:val="center"/>
      </w:pPr>
      <w:r>
        <w:t>ОБРАЗОВАНИЯ И НАУКИ РОССИЙСКОЙ ФЕДЕРАЦИИ ПО ПОВЫШЕНИЮ</w:t>
      </w:r>
    </w:p>
    <w:p w:rsidR="00B36A61" w:rsidRDefault="00B36A61">
      <w:pPr>
        <w:pStyle w:val="ConsPlusNormal"/>
        <w:jc w:val="center"/>
      </w:pPr>
      <w:r>
        <w:t>ЗНАЧЕНИЙ ПОКАЗАТЕЛЕЙ ДОСТУПНОСТИ ДЛЯ ИНВАЛИДОВ ОБЪЕКТОВ</w:t>
      </w:r>
    </w:p>
    <w:p w:rsidR="00B36A61" w:rsidRDefault="00B36A61">
      <w:pPr>
        <w:pStyle w:val="ConsPlusNormal"/>
        <w:jc w:val="center"/>
      </w:pPr>
      <w:r>
        <w:t>И ПРЕДОСТАВЛЯЕМЫХ НА НИХ УСЛУГ В СФЕРЕ ОБРАЗОВАНИЯ</w:t>
      </w:r>
    </w:p>
    <w:p w:rsidR="00B36A61" w:rsidRDefault="00B36A61">
      <w:pPr>
        <w:pStyle w:val="ConsPlusNormal"/>
        <w:jc w:val="center"/>
      </w:pPr>
    </w:p>
    <w:p w:rsidR="00B36A61" w:rsidRDefault="00B36A61">
      <w:pPr>
        <w:pStyle w:val="ConsPlusNormal"/>
        <w:jc w:val="center"/>
        <w:outlineLvl w:val="1"/>
      </w:pPr>
      <w:r>
        <w:t>I. Общие положения</w:t>
      </w:r>
    </w:p>
    <w:p w:rsidR="00B36A61" w:rsidRDefault="00B36A61">
      <w:pPr>
        <w:pStyle w:val="ConsPlusNormal"/>
        <w:jc w:val="center"/>
      </w:pPr>
    </w:p>
    <w:p w:rsidR="00B36A61" w:rsidRDefault="00B36A61">
      <w:pPr>
        <w:pStyle w:val="ConsPlusNormal"/>
        <w:ind w:firstLine="540"/>
        <w:jc w:val="both"/>
      </w:pPr>
      <w:r>
        <w:t>1. План мероприятий ("дорожная карта")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 объектов Министерства образования и науки Российской Федерации (далее - Минобрнауки России) и находящихся в его ведении образовательных организаций (далее - объекты).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2. Целью "дорожной карты"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 xml:space="preserve">3. "Дорожной картой"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599, определяются: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цели обеспечения доступности для инвалидов объектов и услуг;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значения показателей доступности для инвалидов объектов и услуг (на период 2016 - 2030 годов);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4. Целями реализации "дорожной карты" являются: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Минобрнауки России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установление показателей, позволяющих оценивать степень доступности для инвалидов объектов и услуг;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 xml:space="preserve">создание условий по исключению с 1 июля 2016 г. приемки вводимых с этой даты в эксплуатацию или прошедших реконструкцию объектов, не полностью приспособленных с учетом </w:t>
      </w:r>
      <w:r>
        <w:lastRenderedPageBreak/>
        <w:t>потребности инвалидов в соответствии с законодательством о социальной защите инвалидов;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таких как: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наличие объектов с низкой степенью доступности и полностью не доступных для инвалидов, в которых им предоставляются услуги;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наличие объектов, которые невозможно до их реконструкции или капитального ремонта приспособить с учетом потребностей инвалидов;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отсутствие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наличие работников,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отсутствие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инвалидов;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отсутствие в административных регламентах ряда государственных услуг, а также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внесение в нормативные правовые акты Минобрнауки России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организация работы по обеспечению предоставления услуг инвалидам, в том числе альтернативными методами;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расширение перечня оказываемых услуг, доступных для лиц с ограниченными возможностями, через информационно-телекоммуникационную сеть "Интернет".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lastRenderedPageBreak/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1 декабря 2014 г. N 384-ФЗ "О федеральном бюджете на 2015 год и на плановый период 2016 и 2017 годов";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B36A61" w:rsidRDefault="00B36A61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B36A61" w:rsidRDefault="00B36A6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приказа</w:t>
        </w:r>
      </w:hyperlink>
      <w: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B36A61" w:rsidRDefault="00B36A61">
      <w:pPr>
        <w:pStyle w:val="ConsPlusNormal"/>
        <w:spacing w:before="220"/>
        <w:ind w:firstLine="540"/>
        <w:jc w:val="both"/>
      </w:pPr>
      <w:r>
        <w:t>8. Основные ожидаемые результаты реализации "дорожной карты" - увеличение доли доступных для инвалидов объектов в их общем количестве с 10% в 2015 году до 15% в 2020 году и 20% в 2030 году.</w:t>
      </w:r>
    </w:p>
    <w:p w:rsidR="00B36A61" w:rsidRDefault="00B36A61">
      <w:pPr>
        <w:pStyle w:val="ConsPlusNormal"/>
        <w:jc w:val="center"/>
      </w:pPr>
    </w:p>
    <w:p w:rsidR="00B36A61" w:rsidRDefault="00B36A61">
      <w:pPr>
        <w:sectPr w:rsidR="00B36A61" w:rsidSect="00AC4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6A61" w:rsidRDefault="00B36A61">
      <w:pPr>
        <w:pStyle w:val="ConsPlusNormal"/>
        <w:jc w:val="center"/>
        <w:outlineLvl w:val="1"/>
      </w:pPr>
      <w:r>
        <w:lastRenderedPageBreak/>
        <w:t>II. Таблица повышения значений показателей доступности</w:t>
      </w:r>
    </w:p>
    <w:p w:rsidR="00B36A61" w:rsidRDefault="00B36A61">
      <w:pPr>
        <w:pStyle w:val="ConsPlusNormal"/>
        <w:jc w:val="center"/>
      </w:pPr>
      <w:r>
        <w:t>для инвалидов объектов и услуг</w:t>
      </w:r>
    </w:p>
    <w:p w:rsidR="00B36A61" w:rsidRDefault="00B36A6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3720"/>
        <w:gridCol w:w="720"/>
        <w:gridCol w:w="708"/>
        <w:gridCol w:w="707"/>
        <w:gridCol w:w="709"/>
        <w:gridCol w:w="708"/>
        <w:gridCol w:w="708"/>
        <w:gridCol w:w="708"/>
        <w:gridCol w:w="708"/>
        <w:gridCol w:w="707"/>
        <w:gridCol w:w="3217"/>
      </w:tblGrid>
      <w:tr w:rsidR="00B36A61">
        <w:tc>
          <w:tcPr>
            <w:tcW w:w="420" w:type="dxa"/>
            <w:vMerge w:val="restart"/>
          </w:tcPr>
          <w:p w:rsidR="00B36A61" w:rsidRDefault="00B36A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20" w:type="dxa"/>
            <w:vMerge w:val="restart"/>
          </w:tcPr>
          <w:p w:rsidR="00B36A61" w:rsidRDefault="00B36A61">
            <w:pPr>
              <w:pStyle w:val="ConsPlusNormal"/>
              <w:jc w:val="center"/>
            </w:pPr>
            <w: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</w:tcPr>
          <w:p w:rsidR="00B36A61" w:rsidRDefault="00B36A6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5663" w:type="dxa"/>
            <w:gridSpan w:val="8"/>
          </w:tcPr>
          <w:p w:rsidR="00B36A61" w:rsidRDefault="00B36A61">
            <w:pPr>
              <w:pStyle w:val="ConsPlusNormal"/>
              <w:jc w:val="center"/>
            </w:pPr>
            <w:r>
              <w:t>Значение показателей</w:t>
            </w:r>
          </w:p>
        </w:tc>
        <w:tc>
          <w:tcPr>
            <w:tcW w:w="3217" w:type="dxa"/>
            <w:vMerge w:val="restart"/>
          </w:tcPr>
          <w:p w:rsidR="00B36A61" w:rsidRDefault="00B36A61">
            <w:pPr>
              <w:pStyle w:val="ConsPlusNormal"/>
              <w:jc w:val="center"/>
            </w:pPr>
            <w: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B36A61">
        <w:tc>
          <w:tcPr>
            <w:tcW w:w="420" w:type="dxa"/>
            <w:vMerge/>
          </w:tcPr>
          <w:p w:rsidR="00B36A61" w:rsidRDefault="00B36A61"/>
        </w:tc>
        <w:tc>
          <w:tcPr>
            <w:tcW w:w="3720" w:type="dxa"/>
            <w:vMerge/>
          </w:tcPr>
          <w:p w:rsidR="00B36A61" w:rsidRDefault="00B36A61"/>
        </w:tc>
        <w:tc>
          <w:tcPr>
            <w:tcW w:w="720" w:type="dxa"/>
            <w:vMerge/>
          </w:tcPr>
          <w:p w:rsidR="00B36A61" w:rsidRDefault="00B36A61"/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3217" w:type="dxa"/>
            <w:vMerge/>
          </w:tcPr>
          <w:p w:rsidR="00B36A61" w:rsidRDefault="00B36A61"/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введенных с 1 июля 2016 г. в эксплуатацию объектов (зданий, помещений), в которых предоставляются услуги,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управления сетью подведомственных организаций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 xml:space="preserve">Департамент государственной политики в сфере общего </w:t>
            </w:r>
            <w:r>
              <w:lastRenderedPageBreak/>
              <w:t>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 на которых имеются:</w:t>
            </w:r>
          </w:p>
          <w:p w:rsidR="00B36A61" w:rsidRDefault="00B36A61">
            <w:pPr>
              <w:pStyle w:val="ConsPlusNormal"/>
              <w:ind w:firstLine="283"/>
            </w:pPr>
            <w:r>
              <w:t>выделенные стоянки автотранспортных средств для инвалидов;</w:t>
            </w:r>
          </w:p>
          <w:p w:rsidR="00B36A61" w:rsidRDefault="00B36A61">
            <w:pPr>
              <w:pStyle w:val="ConsPlusNormal"/>
              <w:ind w:firstLine="283"/>
            </w:pPr>
            <w:r>
              <w:t>сменные кресла-коляски;</w:t>
            </w:r>
          </w:p>
          <w:p w:rsidR="00B36A61" w:rsidRDefault="00B36A61">
            <w:pPr>
              <w:pStyle w:val="ConsPlusNormal"/>
              <w:ind w:firstLine="283"/>
            </w:pPr>
            <w:r>
              <w:lastRenderedPageBreak/>
              <w:t>адаптированные лифты;</w:t>
            </w:r>
          </w:p>
          <w:p w:rsidR="00B36A61" w:rsidRDefault="00B36A61">
            <w:pPr>
              <w:pStyle w:val="ConsPlusNormal"/>
              <w:ind w:firstLine="283"/>
            </w:pPr>
            <w:r>
              <w:t>поручни;</w:t>
            </w:r>
          </w:p>
          <w:p w:rsidR="00B36A61" w:rsidRDefault="00B36A61">
            <w:pPr>
              <w:pStyle w:val="ConsPlusNormal"/>
              <w:ind w:firstLine="283"/>
            </w:pPr>
            <w:r>
              <w:t>пандусы;</w:t>
            </w:r>
          </w:p>
          <w:p w:rsidR="00B36A61" w:rsidRDefault="00B36A61">
            <w:pPr>
              <w:pStyle w:val="ConsPlusNormal"/>
              <w:ind w:firstLine="283"/>
            </w:pPr>
            <w:r>
              <w:t>подъемные платформы (аппарели);</w:t>
            </w:r>
          </w:p>
          <w:p w:rsidR="00B36A61" w:rsidRDefault="00B36A61">
            <w:pPr>
              <w:pStyle w:val="ConsPlusNormal"/>
              <w:ind w:firstLine="283"/>
            </w:pPr>
            <w:r>
              <w:t>раздвижные двери;</w:t>
            </w:r>
          </w:p>
          <w:p w:rsidR="00B36A61" w:rsidRDefault="00B36A61">
            <w:pPr>
              <w:pStyle w:val="ConsPlusNormal"/>
              <w:ind w:firstLine="283"/>
            </w:pPr>
            <w:r>
              <w:t>доступные входные группы;</w:t>
            </w:r>
          </w:p>
          <w:p w:rsidR="00B36A61" w:rsidRDefault="00B36A61">
            <w:pPr>
              <w:pStyle w:val="ConsPlusNormal"/>
              <w:ind w:firstLine="283"/>
            </w:pPr>
            <w:r>
              <w:t>доступные санитарно-гигиенические помещения;</w:t>
            </w:r>
          </w:p>
          <w:p w:rsidR="00B36A61" w:rsidRDefault="00B36A61">
            <w:pPr>
              <w:pStyle w:val="ConsPlusNormal"/>
              <w:ind w:firstLine="283"/>
            </w:pPr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 xml:space="preserve">Департамент государственной </w:t>
            </w:r>
            <w:r>
              <w:lastRenderedPageBreak/>
              <w:t>политики в сфере воспитания детей и молодежи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</w:t>
            </w:r>
            <w:r>
              <w:lastRenderedPageBreak/>
              <w:t>звукоусиливающей аппаратурой,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 xml:space="preserve">Департамент государственной политики в сфере высшего </w:t>
            </w:r>
            <w:r>
              <w:lastRenderedPageBreak/>
              <w:t>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объектов, имеющих утвержденные Паспорта доступности для инвалидов объекта и услуг, от общего количества объектов, на которых предоставляются услуги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 xml:space="preserve">Удельный вес услуг, предоставляемых с использованием русского жестового языка, с допуском сурдопереводчика и </w:t>
            </w:r>
            <w:r>
              <w:lastRenderedPageBreak/>
              <w:t>тифлосурдопереводчика, от общего количества предоставляемых услуг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 xml:space="preserve">Департамент государственной </w:t>
            </w:r>
            <w:r>
              <w:lastRenderedPageBreak/>
              <w:t>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 xml:space="preserve">Доля работников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и находящихся в ведении Минобрнауки России образовательных организаций (далее - органы и организации), предоставляющих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законодательством Российской Федерации и законодательством </w:t>
            </w:r>
            <w:r>
              <w:lastRenderedPageBreak/>
              <w:t>субъектов Российской Федерации, от общего числа работников, предоставляющих услуги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службы, кадров и управления делами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услуг, предоставляемых инвалидам с сопровождением тьютора, от общего количества предоставляемых инвалидам услуг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услуг, предоставляемых инвалидам с сопровождением ассистента-помощника, от общего количества предоставляемых услуг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 xml:space="preserve">Департамент государственной политики в сфере общего </w:t>
            </w:r>
            <w:r>
              <w:lastRenderedPageBreak/>
              <w:t>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</w:tr>
      <w:tr w:rsidR="00B36A61">
        <w:tc>
          <w:tcPr>
            <w:tcW w:w="4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20" w:type="dxa"/>
          </w:tcPr>
          <w:p w:rsidR="00B36A61" w:rsidRDefault="00B36A61">
            <w:pPr>
              <w:pStyle w:val="ConsPlusNormal"/>
            </w:pPr>
            <w: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20" w:type="dxa"/>
          </w:tcPr>
          <w:p w:rsidR="00B36A61" w:rsidRDefault="00B36A6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7" w:type="dxa"/>
          </w:tcPr>
          <w:p w:rsidR="00B36A61" w:rsidRDefault="00B36A6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17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информационной политики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высшего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подготовки рабочих кадров и ДПО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общего образования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политики в сфере воспитания детей и молодежи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</w:tr>
    </w:tbl>
    <w:p w:rsidR="00B36A61" w:rsidRDefault="00B36A61">
      <w:pPr>
        <w:pStyle w:val="ConsPlusNormal"/>
        <w:jc w:val="center"/>
      </w:pPr>
    </w:p>
    <w:p w:rsidR="00B36A61" w:rsidRDefault="00B36A61">
      <w:pPr>
        <w:pStyle w:val="ConsPlusNormal"/>
        <w:jc w:val="center"/>
        <w:outlineLvl w:val="1"/>
      </w:pPr>
      <w:r>
        <w:t>III. Перечень мероприятий, реализуемых для достижения</w:t>
      </w:r>
    </w:p>
    <w:p w:rsidR="00B36A61" w:rsidRDefault="00B36A61">
      <w:pPr>
        <w:pStyle w:val="ConsPlusNormal"/>
        <w:jc w:val="center"/>
      </w:pPr>
      <w:r>
        <w:t>запланированных значений показателей доступности</w:t>
      </w:r>
    </w:p>
    <w:p w:rsidR="00B36A61" w:rsidRDefault="00B36A61">
      <w:pPr>
        <w:pStyle w:val="ConsPlusNormal"/>
        <w:jc w:val="center"/>
      </w:pPr>
      <w:r>
        <w:t>для инвалидов объектов и услуг</w:t>
      </w:r>
    </w:p>
    <w:p w:rsidR="00B36A61" w:rsidRDefault="00B36A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763"/>
        <w:gridCol w:w="2520"/>
        <w:gridCol w:w="2760"/>
        <w:gridCol w:w="1920"/>
        <w:gridCol w:w="2760"/>
      </w:tblGrid>
      <w:tr w:rsidR="00B36A61">
        <w:tc>
          <w:tcPr>
            <w:tcW w:w="537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63" w:type="dxa"/>
          </w:tcPr>
          <w:p w:rsidR="00B36A61" w:rsidRDefault="00B36A61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20" w:type="dxa"/>
          </w:tcPr>
          <w:p w:rsidR="00B36A61" w:rsidRDefault="00B36A61">
            <w:pPr>
              <w:pStyle w:val="ConsPlusNormal"/>
              <w:jc w:val="center"/>
            </w:pPr>
            <w: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  <w:jc w:val="center"/>
            </w:pPr>
            <w:r>
              <w:t>Ответственные исполнители, соисполнители</w:t>
            </w:r>
          </w:p>
        </w:tc>
        <w:tc>
          <w:tcPr>
            <w:tcW w:w="1920" w:type="dxa"/>
          </w:tcPr>
          <w:p w:rsidR="00B36A61" w:rsidRDefault="00B36A61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  <w:jc w:val="center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B36A61">
        <w:tc>
          <w:tcPr>
            <w:tcW w:w="537" w:type="dxa"/>
          </w:tcPr>
          <w:p w:rsidR="00B36A61" w:rsidRDefault="00B36A61">
            <w:pPr>
              <w:pStyle w:val="ConsPlusNormal"/>
              <w:jc w:val="center"/>
            </w:pPr>
          </w:p>
        </w:tc>
        <w:tc>
          <w:tcPr>
            <w:tcW w:w="12723" w:type="dxa"/>
            <w:gridSpan w:val="5"/>
          </w:tcPr>
          <w:p w:rsidR="00B36A61" w:rsidRDefault="00B36A61">
            <w:pPr>
              <w:pStyle w:val="ConsPlusNormal"/>
              <w:jc w:val="center"/>
              <w:outlineLvl w:val="2"/>
            </w:pPr>
            <w:r>
              <w:t>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B36A61">
        <w:tc>
          <w:tcPr>
            <w:tcW w:w="537" w:type="dxa"/>
          </w:tcPr>
          <w:p w:rsidR="00B36A61" w:rsidRDefault="00B36A61">
            <w:pPr>
              <w:pStyle w:val="ConsPlusNormal"/>
            </w:pPr>
            <w:r>
              <w:t>1.</w:t>
            </w:r>
          </w:p>
        </w:tc>
        <w:tc>
          <w:tcPr>
            <w:tcW w:w="2763" w:type="dxa"/>
          </w:tcPr>
          <w:p w:rsidR="00B36A61" w:rsidRDefault="00B36A61">
            <w:pPr>
              <w:pStyle w:val="ConsPlusNormal"/>
            </w:pPr>
            <w:r>
              <w:t>Проведение паспортизации объектов и услуг</w:t>
            </w:r>
          </w:p>
        </w:tc>
        <w:tc>
          <w:tcPr>
            <w:tcW w:w="2520" w:type="dxa"/>
          </w:tcPr>
          <w:p w:rsidR="00B36A61" w:rsidRDefault="00B36A61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(зарегистрирован Минюстом России 8 декабря 2015 г., регистрационный N 40 000) (далее - приказ Минобрнауки России)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управления сетью подведомственных организаций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  <w:tc>
          <w:tcPr>
            <w:tcW w:w="1920" w:type="dxa"/>
          </w:tcPr>
          <w:p w:rsidR="00B36A61" w:rsidRDefault="00B36A61">
            <w:pPr>
              <w:pStyle w:val="ConsPlusNormal"/>
              <w:jc w:val="center"/>
            </w:pPr>
            <w:r>
              <w:t>1 квартал 2016 г.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 xml:space="preserve">Утверждение паспортов доступности объектов и услуг, предусмотренных </w:t>
            </w: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России, 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</w:t>
            </w:r>
          </w:p>
        </w:tc>
      </w:tr>
      <w:tr w:rsidR="00B36A61">
        <w:tc>
          <w:tcPr>
            <w:tcW w:w="537" w:type="dxa"/>
          </w:tcPr>
          <w:p w:rsidR="00B36A61" w:rsidRDefault="00B36A61">
            <w:pPr>
              <w:pStyle w:val="ConsPlusNormal"/>
            </w:pPr>
            <w:r>
              <w:t>2.</w:t>
            </w:r>
          </w:p>
        </w:tc>
        <w:tc>
          <w:tcPr>
            <w:tcW w:w="2763" w:type="dxa"/>
          </w:tcPr>
          <w:p w:rsidR="00B36A61" w:rsidRDefault="00B36A61">
            <w:pPr>
              <w:pStyle w:val="ConsPlusNormal"/>
            </w:pPr>
            <w:r>
              <w:t xml:space="preserve">Реализация мер по обеспечению доступности объектов, которые невозможно полностью </w:t>
            </w:r>
            <w:r>
              <w:lastRenderedPageBreak/>
              <w:t>приспособить до реконструкции (капитального ремонта), и предоставляемых на них услуг (с учетом результатов паспортизации)</w:t>
            </w:r>
          </w:p>
        </w:tc>
        <w:tc>
          <w:tcPr>
            <w:tcW w:w="2520" w:type="dxa"/>
          </w:tcPr>
          <w:p w:rsidR="00B36A61" w:rsidRDefault="00B36A61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 xml:space="preserve">Департамент управления </w:t>
            </w:r>
            <w:r>
              <w:lastRenderedPageBreak/>
              <w:t>сетью подведомственных организаций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  <w:tc>
          <w:tcPr>
            <w:tcW w:w="1920" w:type="dxa"/>
          </w:tcPr>
          <w:p w:rsidR="00B36A61" w:rsidRDefault="00B36A61">
            <w:pPr>
              <w:pStyle w:val="ConsPlusNormal"/>
              <w:jc w:val="center"/>
            </w:pPr>
            <w:r>
              <w:lastRenderedPageBreak/>
              <w:t>2016 - 2018 гг.</w:t>
            </w:r>
          </w:p>
          <w:p w:rsidR="00B36A61" w:rsidRDefault="00B36A61">
            <w:pPr>
              <w:pStyle w:val="ConsPlusNormal"/>
              <w:jc w:val="center"/>
            </w:pPr>
            <w:r>
              <w:t xml:space="preserve">(срок будет уточнен с учетом результатов </w:t>
            </w:r>
            <w:r>
              <w:lastRenderedPageBreak/>
              <w:t>паспортизации)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lastRenderedPageBreak/>
              <w:t>Увеличение доли объектов, на которых обеспечен доступ к местам оказания услуг</w:t>
            </w:r>
          </w:p>
        </w:tc>
      </w:tr>
      <w:tr w:rsidR="00B36A61">
        <w:tc>
          <w:tcPr>
            <w:tcW w:w="537" w:type="dxa"/>
          </w:tcPr>
          <w:p w:rsidR="00B36A61" w:rsidRDefault="00B36A61">
            <w:pPr>
              <w:pStyle w:val="ConsPlusNormal"/>
            </w:pPr>
          </w:p>
        </w:tc>
        <w:tc>
          <w:tcPr>
            <w:tcW w:w="12723" w:type="dxa"/>
            <w:gridSpan w:val="5"/>
          </w:tcPr>
          <w:p w:rsidR="00B36A61" w:rsidRDefault="00B36A61">
            <w:pPr>
              <w:pStyle w:val="ConsPlusNormal"/>
              <w:jc w:val="center"/>
              <w:outlineLvl w:val="2"/>
            </w:pPr>
            <w: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B36A61">
        <w:tc>
          <w:tcPr>
            <w:tcW w:w="537" w:type="dxa"/>
          </w:tcPr>
          <w:p w:rsidR="00B36A61" w:rsidRDefault="00B36A61">
            <w:pPr>
              <w:pStyle w:val="ConsPlusNormal"/>
            </w:pPr>
            <w:r>
              <w:t>3.</w:t>
            </w:r>
          </w:p>
        </w:tc>
        <w:tc>
          <w:tcPr>
            <w:tcW w:w="2763" w:type="dxa"/>
          </w:tcPr>
          <w:p w:rsidR="00B36A61" w:rsidRDefault="00B36A61">
            <w:pPr>
              <w:pStyle w:val="ConsPlusNormal"/>
            </w:pPr>
            <w: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20" w:type="dxa"/>
          </w:tcPr>
          <w:p w:rsidR="00B36A61" w:rsidRDefault="00B36A61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>Департамент государственной политики в сфере защиты прав детей</w:t>
            </w:r>
          </w:p>
          <w:p w:rsidR="00B36A61" w:rsidRDefault="00B36A61">
            <w:pPr>
              <w:pStyle w:val="ConsPlusNormal"/>
            </w:pPr>
            <w:r>
              <w:t>Департамент государственной службы, кадров и управления делами</w:t>
            </w:r>
          </w:p>
          <w:p w:rsidR="00B36A61" w:rsidRDefault="00B36A61">
            <w:pPr>
              <w:pStyle w:val="ConsPlusNormal"/>
            </w:pPr>
            <w:r>
              <w:t>Образовательные организации, находящиеся в ведении Минобрнауки России</w:t>
            </w:r>
          </w:p>
        </w:tc>
        <w:tc>
          <w:tcPr>
            <w:tcW w:w="1920" w:type="dxa"/>
          </w:tcPr>
          <w:p w:rsidR="00B36A61" w:rsidRDefault="00B36A61">
            <w:pPr>
              <w:pStyle w:val="ConsPlusNormal"/>
              <w:jc w:val="center"/>
            </w:pPr>
            <w:r>
              <w:t>2016 - 2018 гг.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B36A61">
        <w:tc>
          <w:tcPr>
            <w:tcW w:w="537" w:type="dxa"/>
          </w:tcPr>
          <w:p w:rsidR="00B36A61" w:rsidRDefault="00B36A61">
            <w:pPr>
              <w:pStyle w:val="ConsPlusNormal"/>
            </w:pPr>
            <w:r>
              <w:t>4.</w:t>
            </w:r>
          </w:p>
        </w:tc>
        <w:tc>
          <w:tcPr>
            <w:tcW w:w="2763" w:type="dxa"/>
          </w:tcPr>
          <w:p w:rsidR="00B36A61" w:rsidRDefault="00B36A61">
            <w:pPr>
              <w:pStyle w:val="ConsPlusNormal"/>
            </w:pPr>
            <w:r>
              <w:t xml:space="preserve">Проведение анализа административных регламентов Минобрнауки России по предоставлению государственных услуг на предмет наличия и достаточности в них положений об обеспечении доступности государственной услуги для инвалидов и в случае </w:t>
            </w:r>
            <w:r>
              <w:lastRenderedPageBreak/>
              <w:t>необходимости внесение в административные регламенты Минобрнауки России необходимых изменений</w:t>
            </w:r>
          </w:p>
        </w:tc>
        <w:tc>
          <w:tcPr>
            <w:tcW w:w="2520" w:type="dxa"/>
          </w:tcPr>
          <w:p w:rsidR="00B36A61" w:rsidRDefault="00B36A6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>Заинтересованные структурные подразделения Минобрнауки России</w:t>
            </w:r>
          </w:p>
        </w:tc>
        <w:tc>
          <w:tcPr>
            <w:tcW w:w="1920" w:type="dxa"/>
          </w:tcPr>
          <w:p w:rsidR="00B36A61" w:rsidRDefault="00B36A61">
            <w:pPr>
              <w:pStyle w:val="ConsPlusNormal"/>
              <w:jc w:val="center"/>
            </w:pPr>
            <w:r>
              <w:t>3 - 4 кварталы 2016 г.</w:t>
            </w:r>
          </w:p>
        </w:tc>
        <w:tc>
          <w:tcPr>
            <w:tcW w:w="2760" w:type="dxa"/>
          </w:tcPr>
          <w:p w:rsidR="00B36A61" w:rsidRDefault="00B36A61">
            <w:pPr>
              <w:pStyle w:val="ConsPlusNormal"/>
            </w:pPr>
            <w:r>
              <w:t xml:space="preserve">Наличие в административных регламентах по предоставлению государственных услуг населению положений, предусматривающих обеспечение установленных федеральным законодательством </w:t>
            </w:r>
            <w:r>
              <w:lastRenderedPageBreak/>
              <w:t>условий доступности объектов и услуг для инвалидов</w:t>
            </w:r>
          </w:p>
        </w:tc>
      </w:tr>
    </w:tbl>
    <w:p w:rsidR="00B36A61" w:rsidRDefault="00B36A61">
      <w:pPr>
        <w:pStyle w:val="ConsPlusNormal"/>
        <w:ind w:firstLine="540"/>
        <w:jc w:val="both"/>
      </w:pPr>
    </w:p>
    <w:p w:rsidR="00B36A61" w:rsidRDefault="00B36A61">
      <w:pPr>
        <w:pStyle w:val="ConsPlusNormal"/>
        <w:ind w:firstLine="540"/>
        <w:jc w:val="both"/>
      </w:pPr>
    </w:p>
    <w:p w:rsidR="00B36A61" w:rsidRDefault="00B36A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368" w:rsidRDefault="00B54368">
      <w:bookmarkStart w:id="1" w:name="_GoBack"/>
      <w:bookmarkEnd w:id="1"/>
    </w:p>
    <w:sectPr w:rsidR="00B54368" w:rsidSect="00F5575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61"/>
    <w:rsid w:val="00B36A61"/>
    <w:rsid w:val="00B5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483D4CE7E03A7E49F9D3D98558A45C6E6F9D6BE0302F32FDEDAAC97B01774FE768C1B51BD4B57A1FB6K" TargetMode="External"/><Relationship Id="rId13" Type="http://schemas.openxmlformats.org/officeDocument/2006/relationships/hyperlink" Target="consultantplus://offline/ref=B2483D4CE7E03A7E49F9D3D98558A45C6D67986AE7312F32FDEDAAC97B10B1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483D4CE7E03A7E49F9D3D98558A45C6E6F9D6BE0302F32FDEDAAC97B10B1K" TargetMode="External"/><Relationship Id="rId12" Type="http://schemas.openxmlformats.org/officeDocument/2006/relationships/hyperlink" Target="consultantplus://offline/ref=B2483D4CE7E03A7E49F9DAC08258A45C6A639561E7392F32FDEDAAC97B10B1K" TargetMode="External"/><Relationship Id="rId17" Type="http://schemas.openxmlformats.org/officeDocument/2006/relationships/hyperlink" Target="consultantplus://offline/ref=B2483D4CE7E03A7E49F9D3D98558A45C6D67986AE7312F32FDEDAAC97B10B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483D4CE7E03A7E49F9D3D98558A45C6D67986AE7312F32FDEDAAC97B10B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83D4CE7E03A7E49F9D3D98558A45C6E6E9D6CE0382F32FDEDAAC97B01774FE768C1B51BD4B77C1FB0K" TargetMode="External"/><Relationship Id="rId11" Type="http://schemas.openxmlformats.org/officeDocument/2006/relationships/hyperlink" Target="consultantplus://offline/ref=B2483D4CE7E03A7E49F9D3D98558A45C6D67946DE0392F32FDEDAAC97B10B1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2483D4CE7E03A7E49F9D3D98558A45C6D67986AE7312F32FDEDAAC97B10B1K" TargetMode="External"/><Relationship Id="rId10" Type="http://schemas.openxmlformats.org/officeDocument/2006/relationships/hyperlink" Target="consultantplus://offline/ref=B2483D4CE7E03A7E49F9D3D98558A45C6E6E9D6CE0382F32FDEDAAC97B10B1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483D4CE7E03A7E49F9D3D98558A45C6E6F956EE03A2F32FDEDAAC97B10B1K" TargetMode="External"/><Relationship Id="rId14" Type="http://schemas.openxmlformats.org/officeDocument/2006/relationships/hyperlink" Target="consultantplus://offline/ref=B2483D4CE7E03A7E49F9D3D98558A45C6D67986AE7312F32FDEDAAC97B10B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2017-07-25T10:01:00Z</dcterms:created>
  <dcterms:modified xsi:type="dcterms:W3CDTF">2017-07-25T10:02:00Z</dcterms:modified>
</cp:coreProperties>
</file>